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F4" w:rsidRDefault="00C938F4" w:rsidP="00C938F4">
      <w:pPr>
        <w:spacing w:line="240" w:lineRule="auto"/>
        <w:rPr>
          <w:rFonts w:ascii="Sylfaen" w:hAnsi="Sylfaen"/>
          <w:b/>
        </w:rPr>
      </w:pPr>
    </w:p>
    <w:p w:rsidR="00C938F4" w:rsidRPr="00FB747F" w:rsidRDefault="00C938F4" w:rsidP="00174789">
      <w:pPr>
        <w:spacing w:line="240" w:lineRule="auto"/>
        <w:jc w:val="center"/>
        <w:rPr>
          <w:rFonts w:ascii="Sylfaen" w:hAnsi="Sylfaen"/>
          <w:lang w:val="ka-GE"/>
        </w:rPr>
      </w:pPr>
      <w:r w:rsidRPr="00FB747F">
        <w:rPr>
          <w:rFonts w:ascii="Sylfaen" w:hAnsi="Sylfaen"/>
          <w:b/>
          <w:lang w:val="ka-GE"/>
        </w:rPr>
        <w:t xml:space="preserve">ხელშეკრულებაში </w:t>
      </w:r>
      <w:r>
        <w:rPr>
          <w:rFonts w:ascii="Sylfaen" w:hAnsi="Sylfaen"/>
          <w:b/>
          <w:lang w:val="ka-GE"/>
        </w:rPr>
        <w:t xml:space="preserve"> </w:t>
      </w:r>
      <w:r w:rsidRPr="00FB747F">
        <w:rPr>
          <w:rFonts w:ascii="Sylfaen" w:hAnsi="Sylfaen"/>
          <w:b/>
          <w:lang w:val="ka-GE"/>
        </w:rPr>
        <w:t>Nპ/2703031101/30</w:t>
      </w:r>
      <w:r w:rsidRPr="00FB747F">
        <w:rPr>
          <w:rFonts w:ascii="Sylfaen" w:hAnsi="Sylfaen"/>
        </w:rPr>
        <w:t xml:space="preserve"> </w:t>
      </w:r>
      <w:r w:rsidRPr="00FB747F">
        <w:rPr>
          <w:rFonts w:ascii="Sylfaen" w:hAnsi="Sylfaen"/>
          <w:b/>
          <w:lang w:val="ka-GE"/>
        </w:rPr>
        <w:t xml:space="preserve"> ცვლილების შეტანის შესახებ შეთანხმება</w:t>
      </w:r>
    </w:p>
    <w:p w:rsidR="00C938F4" w:rsidRDefault="00C938F4" w:rsidP="00174789">
      <w:pPr>
        <w:spacing w:line="240" w:lineRule="auto"/>
        <w:ind w:left="-567"/>
        <w:jc w:val="center"/>
        <w:rPr>
          <w:rFonts w:ascii="Sylfaen" w:hAnsi="Sylfaen"/>
          <w:b/>
        </w:rPr>
      </w:pPr>
      <w:r w:rsidRPr="00FB747F">
        <w:rPr>
          <w:rFonts w:ascii="Sylfaen" w:hAnsi="Sylfaen"/>
          <w:b/>
        </w:rPr>
        <w:t xml:space="preserve">Agreement on the Amendment to the Agreement </w:t>
      </w:r>
      <w:r w:rsidRPr="00FB747F">
        <w:rPr>
          <w:rFonts w:ascii="Sylfaen" w:hAnsi="Sylfaen"/>
          <w:b/>
          <w:lang w:val="ka-GE"/>
        </w:rPr>
        <w:t>Nპ/2703031101/30</w:t>
      </w:r>
    </w:p>
    <w:p w:rsidR="00C938F4" w:rsidRPr="00C938F4" w:rsidRDefault="00C938F4" w:rsidP="00C938F4">
      <w:pPr>
        <w:spacing w:line="240" w:lineRule="auto"/>
        <w:ind w:left="-567"/>
        <w:jc w:val="center"/>
        <w:rPr>
          <w:rFonts w:ascii="Sylfaen" w:hAnsi="Sylfaen"/>
          <w:b/>
        </w:rPr>
      </w:pPr>
    </w:p>
    <w:p w:rsidR="00C938F4" w:rsidRPr="00FB747F" w:rsidRDefault="00C938F4" w:rsidP="00C938F4">
      <w:pPr>
        <w:ind w:left="-567"/>
        <w:jc w:val="both"/>
        <w:rPr>
          <w:rFonts w:ascii="Sylfaen" w:hAnsi="Sylfaen"/>
          <w:lang w:val="ka-GE"/>
        </w:rPr>
      </w:pPr>
      <w:r w:rsidRPr="00FB747F">
        <w:rPr>
          <w:rFonts w:ascii="Sylfaen" w:hAnsi="Sylfaen"/>
          <w:lang w:val="ka-GE"/>
        </w:rPr>
        <w:t xml:space="preserve">ერთი მხრივ, </w:t>
      </w:r>
      <w:r w:rsidRPr="00174789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FB747F">
        <w:rPr>
          <w:rFonts w:ascii="Sylfaen" w:hAnsi="Sylfaen"/>
          <w:lang w:val="ka-GE"/>
        </w:rPr>
        <w:t xml:space="preserve"> (შემსყიდველი) და მეორე მხრივ, </w:t>
      </w:r>
      <w:r w:rsidRPr="00174789">
        <w:rPr>
          <w:rFonts w:ascii="Sylfaen" w:hAnsi="Sylfaen"/>
          <w:b/>
          <w:lang w:val="ka-GE"/>
        </w:rPr>
        <w:t>ANHUI LIGHT INDUSTRIES INTERNATIONAL CO., LTD</w:t>
      </w:r>
      <w:r w:rsidRPr="00FB747F">
        <w:rPr>
          <w:rFonts w:ascii="Sylfaen" w:hAnsi="Sylfaen"/>
          <w:lang w:val="ka-GE"/>
        </w:rPr>
        <w:t xml:space="preserve"> (მიმწოდებელი) თანხმდებიან, მასზედ, რომ 2020 წლის 10 აპრილს შემსყიდველსა და მიმწოდებელს შორის დადებული Nპ/2703031101/30  ხელშეკრულების 14.6 პუნქტის შესაბამისად,  შეტანილ იქნეს შემდეგი ცვლილება: </w:t>
      </w:r>
    </w:p>
    <w:p w:rsidR="00C938F4" w:rsidRPr="00174789" w:rsidRDefault="00C938F4" w:rsidP="00174789">
      <w:pPr>
        <w:ind w:left="-567"/>
        <w:jc w:val="both"/>
        <w:rPr>
          <w:rFonts w:ascii="Sylfaen" w:hAnsi="Sylfaen" w:cs="Times New Roman"/>
        </w:rPr>
      </w:pPr>
      <w:r w:rsidRPr="00FB747F">
        <w:rPr>
          <w:rFonts w:ascii="Sylfaen" w:hAnsi="Sylfaen" w:cs="Times New Roman"/>
          <w:b/>
          <w:lang w:val="ka-GE"/>
        </w:rPr>
        <w:t>Ministry of Internally Displaced Persons from the Occupied Territories, Labour, Health and Social Affairs of Georgia</w:t>
      </w:r>
      <w:r w:rsidRPr="00FB747F">
        <w:rPr>
          <w:rFonts w:ascii="Sylfaen" w:hAnsi="Sylfaen" w:cs="Times New Roman"/>
          <w:lang w:val="ka-GE"/>
        </w:rPr>
        <w:t xml:space="preserve"> (hereinafter referred as the “Procurer”) on one hand, and the Legal entity  </w:t>
      </w:r>
      <w:r w:rsidRPr="00FB747F">
        <w:rPr>
          <w:rFonts w:ascii="Sylfaen" w:hAnsi="Sylfaen" w:cs="Times New Roman"/>
          <w:b/>
          <w:lang w:val="ka-GE"/>
        </w:rPr>
        <w:t>ANHUI LIGHT INDUSTRIES INTERNATIONAL CO., LTD</w:t>
      </w:r>
      <w:r w:rsidRPr="00FB747F">
        <w:rPr>
          <w:rFonts w:ascii="Sylfaen" w:hAnsi="Sylfaen" w:cs="Times New Roman"/>
          <w:lang w:val="ka-GE"/>
        </w:rPr>
        <w:t xml:space="preserve">. </w:t>
      </w:r>
      <w:r w:rsidRPr="00FB747F">
        <w:rPr>
          <w:rFonts w:ascii="Sylfaen" w:hAnsi="Sylfaen" w:cs="Times New Roman"/>
        </w:rPr>
        <w:t>(</w:t>
      </w:r>
      <w:proofErr w:type="gramStart"/>
      <w:r w:rsidRPr="00FB747F">
        <w:rPr>
          <w:rFonts w:ascii="Sylfaen" w:hAnsi="Sylfaen" w:cs="Times New Roman"/>
        </w:rPr>
        <w:t>hereinaf</w:t>
      </w:r>
      <w:r w:rsidR="00174789">
        <w:rPr>
          <w:rFonts w:ascii="Sylfaen" w:hAnsi="Sylfaen" w:cs="Times New Roman"/>
        </w:rPr>
        <w:t>ter</w:t>
      </w:r>
      <w:proofErr w:type="gramEnd"/>
      <w:r w:rsidR="00174789">
        <w:rPr>
          <w:rFonts w:ascii="Sylfaen" w:hAnsi="Sylfaen" w:cs="Times New Roman"/>
        </w:rPr>
        <w:t xml:space="preserve"> referred as the “Supplier”)</w:t>
      </w:r>
      <w:r w:rsidRPr="00FB747F">
        <w:rPr>
          <w:rFonts w:ascii="Sylfaen" w:hAnsi="Sylfaen" w:cs="Times New Roman"/>
        </w:rPr>
        <w:t xml:space="preserve"> on the other hand, hereby agree to make following amendments according to the Paragraph 14.6 of the Agreement </w:t>
      </w:r>
      <w:r w:rsidRPr="00C938F4">
        <w:rPr>
          <w:rFonts w:ascii="Sylfaen" w:hAnsi="Sylfaen" w:cs="Times New Roman"/>
          <w:lang w:val="ka-GE"/>
        </w:rPr>
        <w:t xml:space="preserve">2703031101/30 concluded between the “Procurer” and the “Supplier” on April 10, 2020: </w:t>
      </w:r>
    </w:p>
    <w:p w:rsidR="00C938F4" w:rsidRPr="00C938F4" w:rsidRDefault="00C938F4" w:rsidP="00C938F4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ხელშეკრულების მესამე პუნქტის 3.1 ქვეპუ</w:t>
      </w:r>
      <w:r w:rsidR="00174789">
        <w:rPr>
          <w:rFonts w:ascii="Sylfaen" w:hAnsi="Sylfaen" w:cs="Times New Roman"/>
          <w:lang w:val="ka-GE"/>
        </w:rPr>
        <w:t>ნ</w:t>
      </w:r>
      <w:r w:rsidRPr="00C938F4">
        <w:rPr>
          <w:rFonts w:ascii="Sylfaen" w:hAnsi="Sylfaen" w:cs="Times New Roman"/>
          <w:lang w:val="ka-GE"/>
        </w:rPr>
        <w:t>ქტი ჩამოყალიბდეს შემდეგი რედაქციით:</w:t>
      </w:r>
    </w:p>
    <w:p w:rsidR="00C938F4" w:rsidRPr="00C938F4" w:rsidRDefault="00C938F4" w:rsidP="00C938F4">
      <w:pPr>
        <w:pStyle w:val="ListParagraph"/>
        <w:ind w:left="-207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Subparagraph 3.1 of the third paragraph of the Agreement shall be modified in following manner:</w:t>
      </w:r>
    </w:p>
    <w:p w:rsidR="00C938F4" w:rsidRPr="00FA615D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/>
        <w:jc w:val="both"/>
        <w:rPr>
          <w:rFonts w:ascii="Sylfaen" w:hAnsi="Sylfaen" w:cs="Times New Roman"/>
        </w:rPr>
      </w:pPr>
      <w:r w:rsidRPr="00C938F4">
        <w:rPr>
          <w:rFonts w:ascii="Sylfaen" w:hAnsi="Sylfaen" w:cs="Times New Roman"/>
          <w:lang w:val="ka-GE"/>
        </w:rPr>
        <w:t>,,3.1 ხელშეკრულების საერთო ღირებულება, მოსაწოდებელი საქონლის პეკინის აეროპორტის სატვირთო ტერმინალამდე ტრანსპორტირების ჩათვლით, შეადგენს $1,882,392.00 აშშ დოლარს</w:t>
      </w:r>
      <w:r w:rsidR="00FA615D">
        <w:rPr>
          <w:rFonts w:ascii="Sylfaen" w:hAnsi="Sylfaen" w:cs="Times New Roman"/>
        </w:rPr>
        <w:t>.”</w:t>
      </w:r>
    </w:p>
    <w:p w:rsidR="00C938F4" w:rsidRPr="00C938F4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hAnsi="Sylfaen" w:cs="Times New Roman"/>
          <w:lang w:val="ka-GE"/>
        </w:rPr>
      </w:pPr>
    </w:p>
    <w:p w:rsidR="00C938F4" w:rsidRDefault="00C938F4" w:rsidP="00C938F4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„</w:t>
      </w:r>
      <w:r w:rsidRPr="00C938F4">
        <w:rPr>
          <w:rFonts w:ascii="Sylfaen" w:hAnsi="Sylfaen" w:cs="Times New Roman"/>
          <w:lang w:val="ka-GE"/>
        </w:rPr>
        <w:t>3.1</w:t>
      </w:r>
      <w:r>
        <w:rPr>
          <w:rFonts w:ascii="Sylfaen" w:hAnsi="Sylfaen" w:cs="Times New Roman"/>
          <w:lang w:val="ka-GE"/>
        </w:rPr>
        <w:t xml:space="preserve"> </w:t>
      </w:r>
      <w:r w:rsidRPr="00C938F4">
        <w:rPr>
          <w:rFonts w:ascii="Sylfaen" w:hAnsi="Sylfaen" w:cs="Times New Roman"/>
          <w:lang w:val="ka-GE"/>
        </w:rPr>
        <w:t>Total value of the Agreement, including transportation of the “Goods” to be delivered to the Beijing airport cargo termin</w:t>
      </w:r>
      <w:r w:rsidR="00174789">
        <w:rPr>
          <w:rFonts w:ascii="Sylfaen" w:hAnsi="Sylfaen" w:cs="Times New Roman"/>
          <w:lang w:val="ka-GE"/>
        </w:rPr>
        <w:t>al amounts to $1,882,392.00 USD</w:t>
      </w:r>
      <w:r>
        <w:rPr>
          <w:rFonts w:ascii="Sylfaen" w:hAnsi="Sylfaen" w:cs="Times New Roman"/>
          <w:lang w:val="ka-GE"/>
        </w:rPr>
        <w:t>“.</w:t>
      </w:r>
    </w:p>
    <w:p w:rsidR="00C938F4" w:rsidRPr="00C938F4" w:rsidRDefault="00C938F4" w:rsidP="00C938F4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ხელშეკრულების დანართი 1 შეიცვალოს და ჩამოყალიბდეს შემდეგი რედაქციით:</w:t>
      </w:r>
    </w:p>
    <w:p w:rsidR="00C938F4" w:rsidRP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Annex 1 of the Agreement shall be modified in the following manner:</w:t>
      </w:r>
    </w:p>
    <w:tbl>
      <w:tblPr>
        <w:tblW w:w="10608" w:type="dxa"/>
        <w:tblLayout w:type="fixed"/>
        <w:tblLook w:val="04A0" w:firstRow="1" w:lastRow="0" w:firstColumn="1" w:lastColumn="0" w:noHBand="0" w:noVBand="1"/>
      </w:tblPr>
      <w:tblGrid>
        <w:gridCol w:w="377"/>
        <w:gridCol w:w="1349"/>
        <w:gridCol w:w="810"/>
        <w:gridCol w:w="720"/>
        <w:gridCol w:w="1262"/>
        <w:gridCol w:w="943"/>
        <w:gridCol w:w="947"/>
        <w:gridCol w:w="30"/>
        <w:gridCol w:w="510"/>
        <w:gridCol w:w="435"/>
        <w:gridCol w:w="335"/>
        <w:gridCol w:w="435"/>
        <w:gridCol w:w="505"/>
        <w:gridCol w:w="437"/>
        <w:gridCol w:w="513"/>
        <w:gridCol w:w="435"/>
        <w:gridCol w:w="128"/>
        <w:gridCol w:w="437"/>
      </w:tblGrid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USD PRICE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TOTAL PRICE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QTY, VOLUME AND WEIGHT PER BOX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NOTICE</w:t>
            </w: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WEIGTH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BOXES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789" w:rsidRPr="00174789" w:rsidTr="00174789">
        <w:trPr>
          <w:gridAfter w:val="1"/>
          <w:wAfter w:w="437" w:type="dxa"/>
          <w:trHeight w:val="54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品名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数量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美元单价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美元总价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件数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体积</w:t>
            </w:r>
            <w:proofErr w:type="spellEnd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毛重</w:t>
            </w:r>
            <w:proofErr w:type="spellEnd"/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总件数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总体积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总重量</w:t>
            </w:r>
            <w:proofErr w:type="spellEnd"/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99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MEDICAL ISOLATION GOWNS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一次性医用</w:t>
            </w:r>
            <w:proofErr w:type="spellEnd"/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隔离衣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$11.30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$678,000.00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0.170314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204.3768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99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MEDICAL ISOLATION GOWNS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一次性医用</w:t>
            </w:r>
            <w:proofErr w:type="spellEnd"/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隔离衣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$400,000.00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0.170314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136.2512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44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MEDICAL PROTECTIVE GOGGLES                      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护目镜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$3.05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$152,500.00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0.1258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31.45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4375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482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SHOE COVERS FOR PROTECTIVE SUITS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一次性高级鞋套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$1.88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$188,000.00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0.07812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78.12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6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DISPOSABLE MEDICAL LATEX </w:t>
            </w:r>
            <w:proofErr w:type="spellStart"/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GLOVES</w:t>
            </w:r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一次性医用乳胶手套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$0.08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$8,000.00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63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DIGITAL THERMOMETERS    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额温枪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$31.64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$9,492.00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0.0685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0.411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63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SURGICAL GOWNS 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一次性隔离衣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$5.58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$446,400.00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0.112266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89.8128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20240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002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$1,882,392.00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4106  BOXES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542  CBM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61719  KGS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</w:tbl>
    <w:p w:rsidR="00C938F4" w:rsidRPr="000C024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:rsidR="00C938F4" w:rsidRPr="000C024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  <w:lang w:val="ka-GE"/>
        </w:rPr>
      </w:pPr>
    </w:p>
    <w:p w:rsidR="00C938F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lang w:val="ka-GE"/>
        </w:rPr>
      </w:pPr>
      <w:r w:rsidRPr="00C938F4">
        <w:rPr>
          <w:rFonts w:ascii="Sylfaen" w:eastAsia="Sylfaen" w:hAnsi="Sylfaen" w:cs="Sylfaen"/>
          <w:position w:val="1"/>
          <w:lang w:val="ka-GE"/>
        </w:rPr>
        <w:t xml:space="preserve">ხელშეკულების თავდაპირველი დანართით განსაზღვრული საქონლისა და წარმოდგენილი დანართით განსაზღვრულ საქონლის ღირებულებებს შორის არსებული სხვაობა 348 600 დოლარის ოდენობით, წინასწარი ანგარიშსწორების წესით გადარიცხული თანხიდან უკან </w:t>
      </w:r>
      <w:r w:rsidR="00174789">
        <w:rPr>
          <w:rFonts w:ascii="Sylfaen" w:eastAsia="Sylfaen" w:hAnsi="Sylfaen" w:cs="Sylfaen"/>
          <w:position w:val="1"/>
          <w:lang w:val="ka-GE"/>
        </w:rPr>
        <w:t>დაბ</w:t>
      </w:r>
      <w:r w:rsidR="008C17DE">
        <w:rPr>
          <w:rFonts w:ascii="Sylfaen" w:eastAsia="Sylfaen" w:hAnsi="Sylfaen" w:cs="Sylfaen"/>
          <w:position w:val="1"/>
          <w:lang w:val="ka-GE"/>
        </w:rPr>
        <w:t>რ</w:t>
      </w:r>
      <w:r w:rsidR="00174789">
        <w:rPr>
          <w:rFonts w:ascii="Sylfaen" w:eastAsia="Sylfaen" w:hAnsi="Sylfaen" w:cs="Sylfaen"/>
          <w:position w:val="1"/>
          <w:lang w:val="ka-GE"/>
        </w:rPr>
        <w:t>უნ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ებული იქნება </w:t>
      </w:r>
      <w:r w:rsidR="008C17DE">
        <w:rPr>
          <w:rFonts w:ascii="Sylfaen" w:eastAsia="Sylfaen" w:hAnsi="Sylfaen" w:cs="Sylfaen"/>
          <w:position w:val="1"/>
          <w:lang w:val="ka-GE"/>
        </w:rPr>
        <w:t>„</w:t>
      </w:r>
      <w:r w:rsidRPr="00C938F4">
        <w:rPr>
          <w:rFonts w:ascii="Sylfaen" w:eastAsia="Sylfaen" w:hAnsi="Sylfaen" w:cs="Sylfaen"/>
          <w:position w:val="1"/>
          <w:lang w:val="ka-GE"/>
        </w:rPr>
        <w:t>მიმწოდებლის</w:t>
      </w:r>
      <w:r w:rsidR="008C17DE">
        <w:rPr>
          <w:rFonts w:ascii="Sylfaen" w:eastAsia="Sylfaen" w:hAnsi="Sylfaen" w:cs="Sylfaen"/>
          <w:position w:val="1"/>
          <w:lang w:val="ka-GE"/>
        </w:rPr>
        <w:t>“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მიერ მითითებულ საბანკო ანგარიშზე</w:t>
      </w:r>
      <w:r w:rsidR="008C17DE">
        <w:rPr>
          <w:rFonts w:ascii="Sylfaen" w:eastAsia="Sylfaen" w:hAnsi="Sylfaen" w:cs="Sylfaen"/>
          <w:position w:val="1"/>
          <w:lang w:val="ka-GE"/>
        </w:rPr>
        <w:t>,</w:t>
      </w:r>
      <w:bookmarkStart w:id="0" w:name="_GoBack"/>
      <w:bookmarkEnd w:id="0"/>
      <w:r w:rsidR="00174789">
        <w:rPr>
          <w:rFonts w:ascii="Sylfaen" w:eastAsia="Sylfaen" w:hAnsi="Sylfaen" w:cs="Sylfaen"/>
          <w:position w:val="1"/>
          <w:lang w:val="ka-GE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არაუგვიანეს 2020 წლის </w:t>
      </w:r>
      <w:r w:rsidR="00174789">
        <w:rPr>
          <w:rFonts w:ascii="Sylfaen" w:eastAsia="Sylfaen" w:hAnsi="Sylfaen" w:cs="Sylfaen"/>
          <w:position w:val="1"/>
          <w:lang w:val="ka-GE"/>
        </w:rPr>
        <w:t>10 მაისისა.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</w:t>
      </w:r>
    </w:p>
    <w:p w:rsidR="00C938F4" w:rsidRP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</w:rPr>
      </w:pPr>
      <w:r w:rsidRPr="00C938F4">
        <w:rPr>
          <w:rFonts w:ascii="Sylfaen" w:eastAsia="Sylfaen" w:hAnsi="Sylfaen" w:cs="Sylfaen"/>
          <w:position w:val="1"/>
          <w:lang w:val="ka-GE"/>
        </w:rPr>
        <w:t xml:space="preserve">The difference between the value of the </w:t>
      </w:r>
      <w:r w:rsidRPr="00174789">
        <w:rPr>
          <w:rFonts w:ascii="Sylfaen" w:eastAsia="Sylfaen" w:hAnsi="Sylfaen" w:cs="Sylfaen"/>
          <w:position w:val="1"/>
          <w:lang w:val="ka-GE"/>
        </w:rPr>
        <w:t>“G</w:t>
      </w:r>
      <w:r w:rsidRPr="00C938F4">
        <w:rPr>
          <w:rFonts w:ascii="Sylfaen" w:eastAsia="Sylfaen" w:hAnsi="Sylfaen" w:cs="Sylfaen"/>
          <w:position w:val="1"/>
          <w:lang w:val="ka-GE"/>
        </w:rPr>
        <w:t>oods</w:t>
      </w:r>
      <w:r w:rsidRPr="00174789">
        <w:rPr>
          <w:rFonts w:ascii="Sylfaen" w:eastAsia="Sylfaen" w:hAnsi="Sylfaen" w:cs="Sylfaen"/>
          <w:position w:val="1"/>
          <w:lang w:val="ka-GE"/>
        </w:rPr>
        <w:t>”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specified in the original </w:t>
      </w:r>
      <w:r w:rsidRPr="00174789">
        <w:rPr>
          <w:rFonts w:ascii="Sylfaen" w:eastAsia="Sylfaen" w:hAnsi="Sylfaen" w:cs="Sylfaen"/>
          <w:position w:val="1"/>
          <w:lang w:val="ka-GE"/>
        </w:rPr>
        <w:t>A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nnex to the Agreement and the value of the </w:t>
      </w:r>
      <w:r w:rsidRPr="00C938F4">
        <w:rPr>
          <w:rFonts w:ascii="Sylfaen" w:eastAsia="Sylfaen" w:hAnsi="Sylfaen" w:cs="Sylfaen"/>
          <w:position w:val="1"/>
        </w:rPr>
        <w:t>“Goods”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specified in th</w:t>
      </w:r>
      <w:r w:rsidR="00174789">
        <w:rPr>
          <w:rFonts w:ascii="Sylfaen" w:eastAsia="Sylfaen" w:hAnsi="Sylfaen" w:cs="Sylfaen"/>
          <w:position w:val="1"/>
        </w:rPr>
        <w:t>is</w:t>
      </w:r>
      <w:r w:rsidRPr="00C938F4">
        <w:rPr>
          <w:rFonts w:ascii="Sylfaen" w:eastAsia="Sylfaen" w:hAnsi="Sylfaen" w:cs="Sylfaen"/>
          <w:position w:val="1"/>
        </w:rPr>
        <w:t xml:space="preserve"> </w:t>
      </w:r>
      <w:r w:rsidR="00174789">
        <w:rPr>
          <w:rFonts w:ascii="Sylfaen" w:eastAsia="Sylfaen" w:hAnsi="Sylfaen" w:cs="Sylfaen"/>
          <w:position w:val="1"/>
          <w:lang w:val="ka-GE"/>
        </w:rPr>
        <w:t>Annex,</w:t>
      </w:r>
      <w:r w:rsidRPr="00C938F4">
        <w:rPr>
          <w:rFonts w:ascii="Sylfaen" w:eastAsia="Sylfaen" w:hAnsi="Sylfaen" w:cs="Sylfaen"/>
          <w:position w:val="1"/>
        </w:rPr>
        <w:t xml:space="preserve"> with amount of </w:t>
      </w:r>
      <w:r w:rsidRPr="00C938F4">
        <w:rPr>
          <w:rFonts w:ascii="Sylfaen" w:eastAsia="Sylfaen" w:hAnsi="Sylfaen" w:cs="Sylfaen"/>
          <w:position w:val="1"/>
          <w:lang w:val="ka-GE"/>
        </w:rPr>
        <w:t>348 600</w:t>
      </w:r>
      <w:r w:rsidRPr="00C938F4">
        <w:rPr>
          <w:rFonts w:ascii="Sylfaen" w:eastAsia="Sylfaen" w:hAnsi="Sylfaen" w:cs="Sylfaen"/>
          <w:position w:val="1"/>
        </w:rPr>
        <w:t xml:space="preserve"> USD</w:t>
      </w:r>
      <w:r w:rsidR="00174789">
        <w:rPr>
          <w:rFonts w:ascii="Sylfaen" w:eastAsia="Sylfaen" w:hAnsi="Sylfaen" w:cs="Sylfaen"/>
          <w:position w:val="1"/>
        </w:rPr>
        <w:t>,</w:t>
      </w:r>
      <w:r w:rsidRPr="00C938F4">
        <w:rPr>
          <w:rFonts w:ascii="Sylfaen" w:eastAsia="Sylfaen" w:hAnsi="Sylfaen" w:cs="Sylfaen"/>
          <w:position w:val="1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shall be refunded from the amount transferred </w:t>
      </w:r>
      <w:r w:rsidRPr="00C938F4">
        <w:rPr>
          <w:rFonts w:ascii="Sylfaen" w:eastAsia="Sylfaen" w:hAnsi="Sylfaen" w:cs="Sylfaen"/>
          <w:position w:val="1"/>
        </w:rPr>
        <w:t xml:space="preserve">through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pre-payment to the bank account </w:t>
      </w:r>
      <w:r w:rsidR="00174789">
        <w:rPr>
          <w:rFonts w:ascii="Sylfaen" w:eastAsia="Sylfaen" w:hAnsi="Sylfaen" w:cs="Sylfaen"/>
          <w:position w:val="1"/>
        </w:rPr>
        <w:t>of the “</w:t>
      </w:r>
      <w:r w:rsidR="008C17DE">
        <w:rPr>
          <w:rFonts w:ascii="Sylfaen" w:eastAsia="Sylfaen" w:hAnsi="Sylfaen" w:cs="Sylfaen"/>
          <w:position w:val="1"/>
        </w:rPr>
        <w:t>Procurer</w:t>
      </w:r>
      <w:r w:rsidR="00174789">
        <w:rPr>
          <w:rFonts w:ascii="Sylfaen" w:eastAsia="Sylfaen" w:hAnsi="Sylfaen" w:cs="Sylfaen"/>
          <w:position w:val="1"/>
        </w:rPr>
        <w:t>”</w:t>
      </w:r>
      <w:r w:rsidRPr="00C938F4">
        <w:rPr>
          <w:rFonts w:ascii="Sylfaen" w:eastAsia="Sylfaen" w:hAnsi="Sylfaen" w:cs="Sylfaen"/>
          <w:position w:val="1"/>
        </w:rPr>
        <w:t>, no later than May 10, 2020.</w:t>
      </w:r>
    </w:p>
    <w:p w:rsidR="00C938F4" w:rsidRPr="00C938F4" w:rsidRDefault="00C938F4" w:rsidP="00C938F4">
      <w:pPr>
        <w:pStyle w:val="ListParagraph"/>
        <w:tabs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</w:rPr>
      </w:pPr>
      <w:r w:rsidRPr="00C938F4">
        <w:rPr>
          <w:rFonts w:ascii="Sylfaen" w:hAnsi="Sylfaen" w:cs="Sylfaen"/>
          <w:lang w:val="ka-GE"/>
        </w:rPr>
        <w:t>ხელშეკრულების</w:t>
      </w:r>
      <w:r w:rsidRPr="00C938F4">
        <w:rPr>
          <w:rFonts w:ascii="Sylfaen" w:hAnsi="Sylfaen"/>
          <w:lang w:val="ka-GE"/>
        </w:rPr>
        <w:t xml:space="preserve"> სხვა დანარჩენი მუხლები, რომლებსაც ცვლილება არ შეხებიათ რჩება უცვლელი. </w:t>
      </w:r>
    </w:p>
    <w:p w:rsid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  <w:r w:rsidRPr="00C938F4">
        <w:rPr>
          <w:rFonts w:ascii="Sylfaen" w:hAnsi="Sylfaen"/>
          <w:lang w:val="ka-GE"/>
        </w:rPr>
        <w:t xml:space="preserve">Other </w:t>
      </w:r>
      <w:r w:rsidRPr="00C938F4">
        <w:rPr>
          <w:rFonts w:ascii="Sylfaen" w:hAnsi="Sylfaen"/>
        </w:rPr>
        <w:t xml:space="preserve"> provisions</w:t>
      </w:r>
      <w:r w:rsidRPr="00C938F4">
        <w:rPr>
          <w:rFonts w:ascii="Sylfaen" w:hAnsi="Sylfaen"/>
          <w:lang w:val="ka-GE"/>
        </w:rPr>
        <w:t xml:space="preserve"> of </w:t>
      </w:r>
      <w:r w:rsidRPr="00C938F4">
        <w:rPr>
          <w:rFonts w:ascii="Sylfaen" w:hAnsi="Sylfaen"/>
        </w:rPr>
        <w:t>the Agreement</w:t>
      </w:r>
      <w:r w:rsidRPr="00C938F4">
        <w:rPr>
          <w:rFonts w:ascii="Sylfaen" w:hAnsi="Sylfaen"/>
          <w:lang w:val="ka-GE"/>
        </w:rPr>
        <w:t xml:space="preserve"> that have not been amended remain unchanged.</w:t>
      </w:r>
    </w:p>
    <w:p w:rsidR="00C938F4" w:rsidRP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lang w:val="ka-GE"/>
        </w:rPr>
      </w:pPr>
      <w:r w:rsidRPr="00C938F4">
        <w:rPr>
          <w:rFonts w:ascii="Sylfaen" w:hAnsi="Sylfaen"/>
          <w:lang w:val="ka-GE"/>
        </w:rPr>
        <w:t xml:space="preserve">შეთანხმება ძალაშია მხარეთა ხელმოწერის დღიდან. </w:t>
      </w:r>
    </w:p>
    <w:p w:rsidR="00C938F4" w:rsidRPr="00C938F4" w:rsidRDefault="00C938F4" w:rsidP="00C938F4">
      <w:pPr>
        <w:pStyle w:val="ListParagraph"/>
        <w:tabs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lang w:val="ka-GE"/>
        </w:rPr>
      </w:pPr>
      <w:r w:rsidRPr="00C938F4">
        <w:rPr>
          <w:rFonts w:ascii="Sylfaen" w:hAnsi="Sylfaen"/>
          <w:lang w:val="ka-GE"/>
        </w:rPr>
        <w:t xml:space="preserve">The Agreement shall enter into force on the date of </w:t>
      </w:r>
      <w:r w:rsidRPr="00C938F4">
        <w:rPr>
          <w:rFonts w:ascii="Sylfaen" w:hAnsi="Sylfaen"/>
        </w:rPr>
        <w:t>its signing by the P</w:t>
      </w:r>
      <w:r w:rsidRPr="00C938F4">
        <w:rPr>
          <w:rFonts w:ascii="Sylfaen" w:hAnsi="Sylfaen"/>
          <w:lang w:val="ka-GE"/>
        </w:rPr>
        <w:t>arties.</w:t>
      </w:r>
    </w:p>
    <w:p w:rsidR="00C938F4" w:rsidRPr="00CE1066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153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:rsidR="00C938F4" w:rsidRPr="00E178B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</w:rPr>
      </w:pPr>
    </w:p>
    <w:p w:rsidR="00C938F4" w:rsidRPr="00EC2D02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tbl>
      <w:tblPr>
        <w:tblStyle w:val="TableGrid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C938F4" w:rsidRPr="00EC2D02" w:rsidTr="007A200E">
        <w:trPr>
          <w:trHeight w:val="1430"/>
        </w:trPr>
        <w:tc>
          <w:tcPr>
            <w:tcW w:w="5490" w:type="dxa"/>
            <w:shd w:val="clear" w:color="auto" w:fill="auto"/>
          </w:tcPr>
          <w:p w:rsidR="00C938F4" w:rsidRPr="00863A08" w:rsidRDefault="00C938F4" w:rsidP="007A20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iCs/>
                <w:sz w:val="18"/>
                <w:szCs w:val="18"/>
                <w:lang w:val="ka-GE"/>
              </w:rPr>
              <w:t xml:space="preserve">„შემსყიდველი“  </w:t>
            </w:r>
          </w:p>
          <w:p w:rsidR="00C938F4" w:rsidRPr="00863A08" w:rsidRDefault="00C938F4" w:rsidP="007A20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  <w:r w:rsidRPr="00863A08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C938F4" w:rsidRPr="00863A08" w:rsidRDefault="00C938F4" w:rsidP="007A20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</w:pP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ka-GE"/>
              </w:rPr>
              <w:t>უფლებამოსილი პირი:</w:t>
            </w: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გიორგი წოწკოლაური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მინისტრის მოადგილე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_______________  </w:t>
            </w:r>
            <w:r w:rsidRPr="00863A08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“Procurer”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Ministry of Internally Displaced Persons 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from the Occupied Territories,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Labour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>, Health and Social Affairs of Georgia</w:t>
            </w: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</w:rPr>
              <w:t>Authorized person</w:t>
            </w: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:</w:t>
            </w:r>
            <w:r w:rsidRPr="00863A0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Giorgi Tsotskolauri, Deputy Minister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_______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______</w:t>
            </w:r>
          </w:p>
        </w:tc>
      </w:tr>
      <w:tr w:rsidR="00C938F4" w:rsidRPr="00EC2D02" w:rsidTr="007A200E">
        <w:trPr>
          <w:trHeight w:val="139"/>
        </w:trPr>
        <w:tc>
          <w:tcPr>
            <w:tcW w:w="5490" w:type="dxa"/>
            <w:shd w:val="clear" w:color="auto" w:fill="auto"/>
          </w:tcPr>
          <w:p w:rsidR="00C938F4" w:rsidRPr="00863A08" w:rsidRDefault="00C938F4" w:rsidP="007A20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მიმწოდებელი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“ </w:t>
            </w: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იურიდიული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ANHUI LIGHT INDUSTRIES INTERNATIONAL CO.,LTD.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8 Tianda Road, Hefei, Anhui, China 230088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BANK OF CHINA HEFEI CHANGJIANG ROAD SUB-BRANCH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საიდენტიფიკაციო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1340000769026584P(1- 1)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184201151797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BKCHCNBJ780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მაიკ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ლიუ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გაყიდვების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მენეჯერი</w:t>
            </w: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:rsidR="00C938F4" w:rsidRPr="00863A08" w:rsidRDefault="00C938F4" w:rsidP="007A20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“Supplier”</w:t>
            </w: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Legal entity: ANHUI LIGHT INDUSTRIES INTERNATIONAL CO., LTD. Address: 8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Tianda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 xml:space="preserve"> Road, Hefei, Anhui, China 230088 Bank: BANK OF CHINA HEFEI CHANGJIANG ROAD SUB-BRANCH Identification number: 91340000769026584P(1-1) Account No.:184201151797 Swift:BKCHCNBJ780 Authorized person: MIKE LIU, Sales Manager</w:t>
            </w: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--------------------------------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938F4" w:rsidRPr="00EC2D02" w:rsidRDefault="00C938F4" w:rsidP="00C938F4">
      <w:pPr>
        <w:jc w:val="both"/>
        <w:rPr>
          <w:rFonts w:ascii="Sylfaen" w:hAnsi="Sylfaen"/>
          <w:sz w:val="18"/>
          <w:szCs w:val="18"/>
        </w:rPr>
      </w:pPr>
    </w:p>
    <w:p w:rsidR="007D2F7C" w:rsidRDefault="008C17DE"/>
    <w:sectPr w:rsidR="007D2F7C" w:rsidSect="00E7063E">
      <w:pgSz w:w="12240" w:h="15840"/>
      <w:pgMar w:top="630" w:right="99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13B6"/>
    <w:multiLevelType w:val="hybridMultilevel"/>
    <w:tmpl w:val="B8AAE6FC"/>
    <w:lvl w:ilvl="0" w:tplc="D42E9E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F4"/>
    <w:rsid w:val="00174789"/>
    <w:rsid w:val="0026543D"/>
    <w:rsid w:val="004D1296"/>
    <w:rsid w:val="008C17DE"/>
    <w:rsid w:val="00C938F4"/>
    <w:rsid w:val="00D75FE5"/>
    <w:rsid w:val="00F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A3FC"/>
  <w15:docId w15:val="{878BB09B-4D72-41A8-B145-EA423D52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938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938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C938F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938F4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2</cp:revision>
  <dcterms:created xsi:type="dcterms:W3CDTF">2020-04-21T07:14:00Z</dcterms:created>
  <dcterms:modified xsi:type="dcterms:W3CDTF">2020-04-21T07:14:00Z</dcterms:modified>
</cp:coreProperties>
</file>